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93"/>
        <w:jc w:val="center"/>
        <w:rPr>
          <w:rFonts w:hint="eastAsia" w:ascii="宋体" w:hAnsi="宋体" w:cs="宋体"/>
          <w:bCs/>
          <w:kern w:val="0"/>
          <w:sz w:val="32"/>
          <w:szCs w:val="32"/>
        </w:rPr>
      </w:pPr>
      <w:r>
        <w:rPr>
          <w:rFonts w:hint="eastAsia" w:ascii="宋体" w:hAnsi="宋体" w:cs="宋体"/>
          <w:bCs/>
          <w:kern w:val="0"/>
          <w:sz w:val="32"/>
          <w:szCs w:val="32"/>
          <w:lang w:eastAsia="zh-CN"/>
        </w:rPr>
        <w:t>邵阳市规划局</w:t>
      </w:r>
      <w:r>
        <w:rPr>
          <w:rFonts w:hint="eastAsia" w:ascii="宋体" w:hAnsi="宋体" w:cs="宋体"/>
          <w:bCs/>
          <w:kern w:val="0"/>
          <w:sz w:val="32"/>
          <w:szCs w:val="32"/>
        </w:rPr>
        <w:t>部门整体支出绩效评价指标评分表</w:t>
      </w:r>
    </w:p>
    <w:tbl>
      <w:tblPr>
        <w:tblStyle w:val="2"/>
        <w:tblW w:w="10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得分</w:t>
            </w:r>
          </w:p>
        </w:tc>
        <w:tc>
          <w:tcPr>
            <w:tcW w:w="617" w:type="dxa"/>
            <w:noWrap w:val="0"/>
            <w:vAlign w:val="center"/>
          </w:tcPr>
          <w:p>
            <w:pPr>
              <w:widowControl/>
              <w:jc w:val="center"/>
              <w:rPr>
                <w:rFonts w:hint="eastAsia"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201</w:t>
            </w:r>
            <w:r>
              <w:rPr>
                <w:rFonts w:hint="eastAsia" w:ascii="仿宋_GB2312" w:hAnsi="宋体" w:eastAsia="仿宋_GB2312" w:cs="宋体"/>
                <w:kern w:val="0"/>
                <w:sz w:val="20"/>
                <w:szCs w:val="20"/>
              </w:rPr>
              <w:t>6年度非税实际收入完成数/</w:t>
            </w:r>
            <w:r>
              <w:rPr>
                <w:rFonts w:ascii="仿宋_GB2312" w:hAnsi="宋体" w:eastAsia="仿宋_GB2312" w:cs="宋体"/>
                <w:kern w:val="0"/>
                <w:sz w:val="20"/>
                <w:szCs w:val="20"/>
              </w:rPr>
              <w:t>201</w:t>
            </w:r>
            <w:r>
              <w:rPr>
                <w:rFonts w:hint="eastAsia" w:ascii="仿宋_GB2312" w:hAnsi="宋体" w:eastAsia="仿宋_GB2312" w:cs="宋体"/>
                <w:kern w:val="0"/>
                <w:sz w:val="20"/>
                <w:szCs w:val="20"/>
              </w:rPr>
              <w:t>6年度非税收入预算数）×100%，有减免因素的，以非税局确定的为准。</w:t>
            </w: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eastAsia" w:ascii="仿宋" w:hAnsi="仿宋" w:eastAsia="仿宋" w:cs="仿宋"/>
                <w:kern w:val="0"/>
                <w:sz w:val="24"/>
                <w:szCs w:val="24"/>
                <w:highlight w:val="yellow"/>
                <w:lang w:val="en-US" w:eastAsia="zh-CN"/>
              </w:rPr>
            </w:pPr>
            <w:r>
              <w:rPr>
                <w:rFonts w:hint="eastAsia" w:ascii="仿宋" w:hAnsi="仿宋" w:eastAsia="仿宋" w:cs="仿宋"/>
                <w:color w:val="auto"/>
                <w:kern w:val="0"/>
                <w:sz w:val="24"/>
                <w:szCs w:val="24"/>
                <w:highlight w:val="none"/>
                <w:shd w:val="clear" w:color="auto" w:fill="auto"/>
                <w:lang w:val="en-US" w:eastAsia="zh-CN"/>
              </w:rPr>
              <w:t>2</w:t>
            </w:r>
          </w:p>
        </w:tc>
        <w:tc>
          <w:tcPr>
            <w:tcW w:w="617" w:type="dxa"/>
            <w:noWrap w:val="0"/>
            <w:vAlign w:val="center"/>
          </w:tcPr>
          <w:p>
            <w:pPr>
              <w:widowControl/>
              <w:jc w:val="center"/>
              <w:rPr>
                <w:rFonts w:hint="eastAsia" w:ascii="仿宋" w:hAnsi="仿宋" w:eastAsia="仿宋" w:cs="仿宋"/>
                <w:color w:val="auto"/>
                <w:kern w:val="0"/>
                <w:sz w:val="24"/>
                <w:szCs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tabs>
                <w:tab w:val="left" w:pos="331"/>
              </w:tabs>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w:t>
            </w:r>
          </w:p>
        </w:tc>
        <w:tc>
          <w:tcPr>
            <w:tcW w:w="617" w:type="dxa"/>
            <w:tcBorders>
              <w:top w:val="single" w:color="auto" w:sz="4" w:space="0"/>
            </w:tcBorders>
            <w:noWrap w:val="0"/>
            <w:vAlign w:val="center"/>
          </w:tcPr>
          <w:p>
            <w:pPr>
              <w:widowControl/>
              <w:tabs>
                <w:tab w:val="left" w:pos="331"/>
              </w:tabs>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617" w:type="dxa"/>
            <w:tcBorders>
              <w:top w:val="single" w:color="auto" w:sz="4" w:space="0"/>
            </w:tcBorders>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14</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①按规定内容公开预决算信息，1分；②按规定时限公开预决算信息，1分；③基础数据信息和会计信息资料真实、完整，1分；</w:t>
            </w:r>
            <w:r>
              <w:rPr>
                <w:rFonts w:hint="eastAsia" w:ascii="微软雅黑" w:hAnsi="微软雅黑" w:eastAsia="微软雅黑" w:cs="宋体"/>
                <w:kern w:val="0"/>
                <w:sz w:val="20"/>
                <w:szCs w:val="20"/>
              </w:rPr>
              <w:t>④</w:t>
            </w:r>
            <w:r>
              <w:rPr>
                <w:rFonts w:hint="eastAsia" w:ascii="仿宋_GB2312" w:hAnsi="宋体" w:eastAsia="仿宋_GB2312" w:cs="宋体"/>
                <w:kern w:val="0"/>
                <w:sz w:val="20"/>
                <w:szCs w:val="20"/>
              </w:rPr>
              <w:t xml:space="preserve">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w:t>
            </w:r>
            <w:r>
              <w:rPr>
                <w:rFonts w:hint="eastAsia" w:ascii="微软雅黑" w:hAnsi="微软雅黑" w:eastAsia="微软雅黑" w:cs="宋体"/>
                <w:kern w:val="0"/>
                <w:sz w:val="20"/>
                <w:szCs w:val="20"/>
              </w:rPr>
              <w:t>⑨未</w:t>
            </w:r>
            <w:r>
              <w:rPr>
                <w:rFonts w:hint="eastAsia" w:ascii="仿宋_GB2312" w:hAnsi="宋体" w:eastAsia="仿宋_GB2312" w:cs="宋体"/>
                <w:kern w:val="0"/>
                <w:sz w:val="20"/>
                <w:szCs w:val="20"/>
              </w:rPr>
              <w:t>按时报送2017年行政事业单位资产报表的，每延迟一天，扣1分，扣完为止。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《邵阳市财政局关于编报2016年行政事业单位资产报表的通知》</w:t>
            </w: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16</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年度部门整体支出绩效目标的，2分；</w:t>
            </w:r>
            <w:r>
              <w:rPr>
                <w:rFonts w:hint="eastAsia" w:ascii="微软雅黑" w:hAnsi="微软雅黑" w:eastAsia="微软雅黑" w:cs="宋体"/>
                <w:kern w:val="0"/>
                <w:sz w:val="20"/>
                <w:szCs w:val="20"/>
              </w:rPr>
              <w:t>③</w:t>
            </w:r>
            <w:r>
              <w:rPr>
                <w:rFonts w:hint="eastAsia" w:ascii="仿宋_GB2312" w:hAnsi="宋体" w:eastAsia="仿宋_GB2312" w:cs="宋体"/>
                <w:kern w:val="0"/>
                <w:sz w:val="20"/>
                <w:szCs w:val="20"/>
              </w:rPr>
              <w:t>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1.《邵阳市财政局关于报送201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年财政专项（项目）资金预算绩效目标的通知》（邵财绩〔201</w:t>
            </w:r>
            <w:r>
              <w:rPr>
                <w:rFonts w:hint="eastAsia" w:ascii="仿宋_GB2312" w:hAnsi="宋体" w:eastAsia="仿宋_GB2312" w:cs="宋体"/>
                <w:kern w:val="0"/>
                <w:sz w:val="20"/>
                <w:szCs w:val="20"/>
                <w:lang w:val="en-US" w:eastAsia="zh-CN"/>
              </w:rPr>
              <w:t>7</w:t>
            </w:r>
            <w:r>
              <w:rPr>
                <w:rFonts w:hint="eastAsia" w:ascii="仿宋_GB2312" w:hAnsi="宋体" w:eastAsia="仿宋_GB2312" w:cs="宋体"/>
                <w:kern w:val="0"/>
                <w:sz w:val="20"/>
                <w:szCs w:val="20"/>
              </w:rPr>
              <w:t>〕1</w:t>
            </w:r>
            <w:r>
              <w:rPr>
                <w:rFonts w:hint="eastAsia" w:ascii="仿宋_GB2312" w:hAnsi="宋体" w:eastAsia="仿宋_GB2312" w:cs="宋体"/>
                <w:kern w:val="0"/>
                <w:sz w:val="20"/>
                <w:szCs w:val="20"/>
                <w:lang w:val="en-US" w:eastAsia="zh-CN"/>
              </w:rPr>
              <w:t>5</w:t>
            </w:r>
            <w:r>
              <w:rPr>
                <w:rFonts w:hint="eastAsia" w:ascii="仿宋_GB2312" w:hAnsi="宋体" w:eastAsia="仿宋_GB2312" w:cs="宋体"/>
                <w:kern w:val="0"/>
                <w:sz w:val="20"/>
                <w:szCs w:val="20"/>
              </w:rPr>
              <w:t>号）</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2.《邵阳市财政局关于编制201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年部门整体支出绩效目标的通知》（邵财绩〔201</w:t>
            </w:r>
            <w:r>
              <w:rPr>
                <w:rFonts w:hint="eastAsia" w:ascii="仿宋_GB2312" w:hAnsi="宋体" w:eastAsia="仿宋_GB2312" w:cs="宋体"/>
                <w:kern w:val="0"/>
                <w:sz w:val="20"/>
                <w:szCs w:val="20"/>
                <w:lang w:val="en-US" w:eastAsia="zh-CN"/>
              </w:rPr>
              <w:t>7</w:t>
            </w:r>
            <w:r>
              <w:rPr>
                <w:rFonts w:hint="eastAsia" w:ascii="仿宋_GB2312" w:hAnsi="宋体" w:eastAsia="仿宋_GB2312" w:cs="宋体"/>
                <w:kern w:val="0"/>
                <w:sz w:val="20"/>
                <w:szCs w:val="20"/>
              </w:rPr>
              <w:t>〕1</w:t>
            </w:r>
            <w:r>
              <w:rPr>
                <w:rFonts w:hint="eastAsia" w:ascii="仿宋_GB2312" w:hAnsi="宋体" w:eastAsia="仿宋_GB2312" w:cs="宋体"/>
                <w:kern w:val="0"/>
                <w:sz w:val="20"/>
                <w:szCs w:val="20"/>
                <w:lang w:val="en-US" w:eastAsia="zh-CN"/>
              </w:rPr>
              <w:t>4</w:t>
            </w:r>
            <w:r>
              <w:rPr>
                <w:rFonts w:hint="eastAsia" w:ascii="仿宋_GB2312" w:hAnsi="宋体" w:eastAsia="仿宋_GB2312" w:cs="宋体"/>
                <w:kern w:val="0"/>
                <w:sz w:val="20"/>
                <w:szCs w:val="20"/>
              </w:rPr>
              <w:t>号）</w:t>
            </w: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w:t>
            </w:r>
            <w:r>
              <w:rPr>
                <w:rFonts w:hint="eastAsia" w:ascii="仿宋_GB2312" w:hAnsi="宋体" w:eastAsia="仿宋_GB2312" w:cs="宋体"/>
                <w:kern w:val="0"/>
                <w:sz w:val="20"/>
                <w:szCs w:val="20"/>
                <w:lang w:val="en-US" w:eastAsia="zh-CN"/>
              </w:rPr>
              <w:t>7</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w:t>
            </w:r>
            <w:r>
              <w:rPr>
                <w:rFonts w:hint="eastAsia" w:ascii="仿宋_GB2312" w:hAnsi="宋体" w:eastAsia="仿宋_GB2312" w:cs="宋体"/>
                <w:kern w:val="0"/>
                <w:sz w:val="20"/>
                <w:szCs w:val="20"/>
                <w:lang w:val="en-US" w:eastAsia="zh-CN"/>
              </w:rPr>
              <w:t>7</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w:t>
            </w:r>
            <w:r>
              <w:rPr>
                <w:rFonts w:hint="eastAsia" w:ascii="仿宋_GB2312" w:hAnsi="宋体" w:eastAsia="仿宋_GB2312" w:cs="宋体"/>
                <w:kern w:val="0"/>
                <w:sz w:val="20"/>
                <w:szCs w:val="20"/>
                <w:lang w:val="en-US" w:eastAsia="zh-CN"/>
              </w:rPr>
              <w:t>7</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1.《邵阳市财政局关于开展201</w:t>
            </w:r>
            <w:r>
              <w:rPr>
                <w:rFonts w:hint="eastAsia" w:ascii="仿宋_GB2312" w:hAnsi="宋体" w:eastAsia="仿宋_GB2312" w:cs="宋体"/>
                <w:kern w:val="0"/>
                <w:sz w:val="20"/>
                <w:szCs w:val="20"/>
                <w:lang w:val="en-US" w:eastAsia="zh-CN"/>
              </w:rPr>
              <w:t>7</w:t>
            </w:r>
            <w:r>
              <w:rPr>
                <w:rFonts w:hint="eastAsia" w:ascii="仿宋_GB2312" w:hAnsi="宋体" w:eastAsia="仿宋_GB2312" w:cs="宋体"/>
                <w:kern w:val="0"/>
                <w:sz w:val="20"/>
                <w:szCs w:val="20"/>
              </w:rPr>
              <w:t>年专项资金支出及已完工项目绩效自评工作的通知》（邵财绩〔201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w:t>
            </w:r>
            <w:r>
              <w:rPr>
                <w:rFonts w:hint="eastAsia" w:ascii="仿宋_GB2312" w:hAnsi="宋体" w:eastAsia="仿宋_GB2312" w:cs="宋体"/>
                <w:kern w:val="0"/>
                <w:sz w:val="20"/>
                <w:szCs w:val="20"/>
                <w:lang w:val="en-US" w:eastAsia="zh-CN"/>
              </w:rPr>
              <w:t>1</w:t>
            </w:r>
            <w:r>
              <w:rPr>
                <w:rFonts w:hint="eastAsia" w:ascii="仿宋_GB2312" w:hAnsi="宋体" w:eastAsia="仿宋_GB2312" w:cs="宋体"/>
                <w:kern w:val="0"/>
                <w:sz w:val="20"/>
                <w:szCs w:val="20"/>
              </w:rPr>
              <w:t>号）</w:t>
            </w: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2.《邵阳市财政局关于做好201</w:t>
            </w:r>
            <w:r>
              <w:rPr>
                <w:rFonts w:hint="eastAsia" w:ascii="仿宋_GB2312" w:hAnsi="宋体" w:eastAsia="仿宋_GB2312" w:cs="宋体"/>
                <w:kern w:val="0"/>
                <w:sz w:val="20"/>
                <w:szCs w:val="20"/>
                <w:lang w:val="en-US" w:eastAsia="zh-CN"/>
              </w:rPr>
              <w:t>7</w:t>
            </w:r>
            <w:r>
              <w:rPr>
                <w:rFonts w:hint="eastAsia" w:ascii="仿宋_GB2312" w:hAnsi="宋体" w:eastAsia="仿宋_GB2312" w:cs="宋体"/>
                <w:kern w:val="0"/>
                <w:sz w:val="20"/>
                <w:szCs w:val="20"/>
              </w:rPr>
              <w:t>年度部门整体支出绩效自评工作的通知》（邵财绩〔201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〕2号）</w:t>
            </w:r>
          </w:p>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7</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 w:hAnsi="仿宋" w:eastAsia="仿宋" w:cs="宋体"/>
                <w:sz w:val="20"/>
                <w:szCs w:val="20"/>
              </w:rPr>
            </w:pPr>
            <w:r>
              <w:rPr>
                <w:rFonts w:hint="eastAsia" w:ascii="仿宋_GB2312" w:hAnsi="宋体" w:eastAsia="仿宋_GB2312" w:cs="宋体"/>
                <w:kern w:val="0"/>
                <w:sz w:val="20"/>
                <w:szCs w:val="20"/>
              </w:rPr>
              <w:t>根据201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noWrap w:val="0"/>
            <w:vAlign w:val="center"/>
          </w:tcPr>
          <w:p>
            <w:pP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top"/>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w:t>
            </w:r>
          </w:p>
        </w:tc>
        <w:tc>
          <w:tcPr>
            <w:tcW w:w="617" w:type="dxa"/>
            <w:noWrap w:val="0"/>
            <w:vAlign w:val="center"/>
          </w:tcPr>
          <w:p>
            <w:pPr>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 w:hAnsi="仿宋" w:eastAsia="仿宋" w:cs="仿宋"/>
                <w:kern w:val="0"/>
                <w:sz w:val="24"/>
                <w:szCs w:val="24"/>
              </w:rPr>
            </w:pPr>
          </w:p>
        </w:tc>
        <w:tc>
          <w:tcPr>
            <w:tcW w:w="617" w:type="dxa"/>
            <w:noWrap w:val="0"/>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 w:hAnsi="仿宋" w:eastAsia="仿宋" w:cs="仿宋"/>
                <w:kern w:val="0"/>
                <w:sz w:val="24"/>
                <w:szCs w:val="24"/>
              </w:rPr>
            </w:pPr>
          </w:p>
        </w:tc>
        <w:tc>
          <w:tcPr>
            <w:tcW w:w="617" w:type="dxa"/>
            <w:noWrap w:val="0"/>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98</w:t>
            </w:r>
          </w:p>
        </w:tc>
        <w:tc>
          <w:tcPr>
            <w:tcW w:w="617" w:type="dxa"/>
            <w:noWrap w:val="0"/>
            <w:vAlign w:val="center"/>
          </w:tcPr>
          <w:p>
            <w:pPr>
              <w:widowControl/>
              <w:jc w:val="center"/>
              <w:rPr>
                <w:rFonts w:hint="eastAsia" w:ascii="仿宋" w:hAnsi="仿宋" w:eastAsia="仿宋" w:cs="仿宋"/>
                <w:kern w:val="0"/>
                <w:sz w:val="24"/>
                <w:szCs w:val="24"/>
                <w:lang w:val="en-US" w:eastAsia="zh-CN"/>
              </w:rPr>
            </w:pPr>
          </w:p>
        </w:tc>
      </w:tr>
    </w:tbl>
    <w:p>
      <w:pPr>
        <w:spacing w:line="600" w:lineRule="exact"/>
        <w:rPr>
          <w:rFonts w:ascii="宋体" w:hAnsi="宋体" w:cs="宋体"/>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927B4"/>
    <w:rsid w:val="14842F98"/>
    <w:rsid w:val="1B0927B4"/>
    <w:rsid w:val="3DFB5A95"/>
    <w:rsid w:val="41D65948"/>
    <w:rsid w:val="4B867B01"/>
    <w:rsid w:val="4C5934B6"/>
    <w:rsid w:val="61680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164</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2019-11-01T03:33:00Z</dcterms:created>
  <dc:creator>瓶中鱼</dc:creator>
  <cp:lastModifiedBy>瓶中鱼</cp:lastModifiedBy>
  <dcterms:modified xsi:type="dcterms:W3CDTF">2019-11-06T06:50:17Z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